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sz w:val="44"/>
          <w:szCs w:val="44"/>
        </w:rPr>
      </w:pPr>
      <w:r>
        <w:rPr>
          <w:rFonts w:hint="eastAsia" w:ascii="黑体" w:hAnsi="黑体" w:eastAsia="黑体"/>
          <w:sz w:val="44"/>
          <w:szCs w:val="44"/>
        </w:rPr>
        <w:t>阳泉市关于地籍（子）区公开查询的</w:t>
      </w:r>
    </w:p>
    <w:p>
      <w:pPr>
        <w:jc w:val="center"/>
        <w:rPr>
          <w:rFonts w:ascii="黑体" w:hAnsi="黑体" w:eastAsia="黑体"/>
          <w:sz w:val="44"/>
          <w:szCs w:val="44"/>
        </w:rPr>
      </w:pPr>
      <w:r>
        <w:rPr>
          <w:rFonts w:hint="eastAsia" w:ascii="黑体" w:hAnsi="黑体" w:eastAsia="黑体"/>
          <w:sz w:val="44"/>
          <w:szCs w:val="44"/>
        </w:rPr>
        <w:t>公 告</w:t>
      </w:r>
    </w:p>
    <w:p>
      <w:pPr>
        <w:rPr>
          <w:rFonts w:ascii="仿宋_GB2312" w:eastAsia="仿宋_GB2312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为持续优化营商环境，提升我市便民利企服务水平，阳泉市规划和自然资源局对市辖区城区、矿区、郊区范围内地籍区、地籍子区信息进行公示，方便企业和群众公开查询。现将有关事项公告如下：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　　自即日起，任何人可通过阳泉市规划和自然资源局门户网站（网址</w:t>
      </w:r>
      <w:r>
        <w:rPr>
          <w:rFonts w:ascii="仿宋" w:hAnsi="仿宋" w:eastAsia="仿宋"/>
          <w:sz w:val="32"/>
          <w:szCs w:val="32"/>
        </w:rPr>
        <w:t>http://gtj.yq.gov.cn/</w:t>
      </w:r>
      <w:r>
        <w:rPr>
          <w:rFonts w:hint="eastAsia" w:ascii="仿宋" w:hAnsi="仿宋" w:eastAsia="仿宋"/>
          <w:sz w:val="32"/>
          <w:szCs w:val="32"/>
        </w:rPr>
        <w:t>）“优化营商环境不动产</w:t>
      </w:r>
      <w:r>
        <w:rPr>
          <w:rFonts w:hint="eastAsia" w:ascii="仿宋" w:hAnsi="仿宋" w:eastAsia="仿宋"/>
          <w:sz w:val="32"/>
          <w:szCs w:val="32"/>
          <w:lang w:eastAsia="zh-CN"/>
        </w:rPr>
        <w:t>登记</w:t>
      </w:r>
      <w:r>
        <w:rPr>
          <w:rFonts w:hint="eastAsia" w:ascii="仿宋" w:hAnsi="仿宋" w:eastAsia="仿宋"/>
          <w:sz w:val="32"/>
          <w:szCs w:val="32"/>
        </w:rPr>
        <w:t>”栏目下“地籍（子）区公示”模块，均可查询到本市城区、矿区、郊区范围内地籍区、地籍子区信息，</w:t>
      </w:r>
      <w:r>
        <w:rPr>
          <w:rFonts w:hint="eastAsia" w:ascii="仿宋" w:hAnsi="仿宋" w:eastAsia="仿宋"/>
          <w:sz w:val="32"/>
          <w:szCs w:val="32"/>
          <w:shd w:val="clear" w:color="auto" w:fill="FFFFFF"/>
        </w:rPr>
        <w:t>包括地籍区、地籍子区的名称、编号等内容</w:t>
      </w:r>
      <w:r>
        <w:rPr>
          <w:rFonts w:hint="eastAsia" w:ascii="仿宋" w:hAnsi="仿宋" w:eastAsia="仿宋"/>
          <w:sz w:val="32"/>
          <w:szCs w:val="32"/>
        </w:rPr>
        <w:t>。同时，查询人应严格遵守相关法律法规，依法使用地籍区、地籍子区信息，对违法使用的，应承担相应的法律责任。</w:t>
      </w:r>
    </w:p>
    <w:p>
      <w:pPr>
        <w:widowControl/>
        <w:shd w:val="clear" w:color="auto" w:fill="FFFFFF"/>
        <w:spacing w:line="540" w:lineRule="atLeast"/>
        <w:ind w:firstLine="645"/>
        <w:jc w:val="left"/>
        <w:rPr>
          <w:rFonts w:ascii="仿宋_GB2312" w:hAnsi="仿宋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仿宋" w:eastAsia="仿宋_GB2312" w:cs="宋体"/>
          <w:color w:val="000000"/>
          <w:kern w:val="0"/>
          <w:sz w:val="32"/>
          <w:szCs w:val="32"/>
        </w:rPr>
        <w:t>特此公告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附件：阳泉市地籍（子）区查询操作流程</w:t>
      </w:r>
    </w:p>
    <w:p>
      <w:pPr>
        <w:widowControl/>
        <w:shd w:val="clear" w:color="auto" w:fill="FFFFFF"/>
        <w:spacing w:line="540" w:lineRule="atLeast"/>
        <w:ind w:firstLine="645"/>
        <w:jc w:val="left"/>
        <w:rPr>
          <w:rFonts w:ascii="仿宋_GB2312" w:hAnsi="仿宋" w:eastAsia="仿宋_GB2312" w:cs="宋体"/>
          <w:color w:val="000000"/>
          <w:kern w:val="0"/>
          <w:sz w:val="32"/>
          <w:szCs w:val="32"/>
        </w:rPr>
      </w:pPr>
    </w:p>
    <w:p>
      <w:pPr>
        <w:widowControl/>
        <w:shd w:val="clear" w:color="auto" w:fill="FFFFFF"/>
        <w:spacing w:line="540" w:lineRule="atLeast"/>
        <w:ind w:firstLine="645"/>
        <w:jc w:val="left"/>
        <w:rPr>
          <w:rFonts w:ascii="仿宋_GB2312" w:hAnsi="仿宋" w:eastAsia="仿宋_GB2312" w:cs="宋体"/>
          <w:color w:val="000000"/>
          <w:kern w:val="0"/>
          <w:sz w:val="32"/>
          <w:szCs w:val="32"/>
        </w:rPr>
      </w:pPr>
    </w:p>
    <w:p>
      <w:pPr>
        <w:widowControl/>
        <w:shd w:val="clear" w:color="auto" w:fill="FFFFFF"/>
        <w:spacing w:line="540" w:lineRule="atLeast"/>
        <w:jc w:val="left"/>
        <w:rPr>
          <w:rFonts w:ascii="仿宋_GB2312" w:hAnsi="仿宋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仿宋" w:eastAsia="仿宋_GB2312" w:cs="宋体"/>
          <w:color w:val="000000"/>
          <w:kern w:val="0"/>
          <w:sz w:val="32"/>
          <w:szCs w:val="32"/>
        </w:rPr>
        <w:t>　　　</w:t>
      </w:r>
      <w:r>
        <w:rPr>
          <w:rFonts w:hint="eastAsia" w:ascii="仿宋_GB2312" w:hAnsi="Calibri" w:eastAsia="仿宋_GB2312" w:cs="Calibri"/>
          <w:color w:val="000000"/>
          <w:kern w:val="0"/>
          <w:sz w:val="32"/>
          <w:szCs w:val="32"/>
        </w:rPr>
        <w:t>                   </w:t>
      </w:r>
      <w:r>
        <w:rPr>
          <w:rFonts w:hint="eastAsia" w:ascii="仿宋_GB2312" w:hAnsi="仿宋" w:eastAsia="仿宋_GB2312" w:cs="宋体"/>
          <w:color w:val="000000"/>
          <w:kern w:val="0"/>
          <w:sz w:val="32"/>
          <w:szCs w:val="32"/>
        </w:rPr>
        <w:t xml:space="preserve"> </w:t>
      </w:r>
      <w:r>
        <w:rPr>
          <w:rFonts w:ascii="仿宋_GB2312" w:hAnsi="仿宋" w:eastAsia="仿宋_GB2312" w:cs="宋体"/>
          <w:color w:val="000000"/>
          <w:kern w:val="0"/>
          <w:sz w:val="32"/>
          <w:szCs w:val="32"/>
        </w:rPr>
        <w:t xml:space="preserve">       </w:t>
      </w:r>
      <w:r>
        <w:rPr>
          <w:rFonts w:hint="eastAsia" w:ascii="仿宋_GB2312" w:hAnsi="仿宋" w:eastAsia="仿宋_GB2312" w:cs="宋体"/>
          <w:color w:val="000000"/>
          <w:kern w:val="0"/>
          <w:sz w:val="32"/>
          <w:szCs w:val="32"/>
        </w:rPr>
        <w:t>阳泉市规划和自然资源局</w:t>
      </w:r>
    </w:p>
    <w:p>
      <w:pPr>
        <w:widowControl/>
        <w:shd w:val="clear" w:color="auto" w:fill="FFFFFF"/>
        <w:spacing w:line="540" w:lineRule="atLeast"/>
        <w:jc w:val="left"/>
        <w:rPr>
          <w:rFonts w:ascii="仿宋_GB2312" w:hAnsi="仿宋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仿宋" w:eastAsia="仿宋_GB2312" w:cs="宋体"/>
          <w:color w:val="000000"/>
          <w:kern w:val="0"/>
          <w:sz w:val="32"/>
          <w:szCs w:val="32"/>
        </w:rPr>
        <w:t>　　</w:t>
      </w:r>
      <w:r>
        <w:rPr>
          <w:rFonts w:hint="eastAsia" w:ascii="仿宋_GB2312" w:hAnsi="Calibri" w:eastAsia="仿宋_GB2312" w:cs="Calibri"/>
          <w:color w:val="000000"/>
          <w:kern w:val="0"/>
          <w:sz w:val="32"/>
          <w:szCs w:val="32"/>
        </w:rPr>
        <w:t>                </w:t>
      </w:r>
      <w:r>
        <w:rPr>
          <w:rFonts w:hint="eastAsia" w:ascii="仿宋_GB2312" w:hAnsi="仿宋" w:eastAsia="仿宋_GB2312" w:cs="宋体"/>
          <w:color w:val="000000"/>
          <w:kern w:val="0"/>
          <w:sz w:val="32"/>
          <w:szCs w:val="32"/>
        </w:rPr>
        <w:t>　</w:t>
      </w:r>
      <w:r>
        <w:rPr>
          <w:rFonts w:hint="eastAsia" w:ascii="仿宋_GB2312" w:hAnsi="Calibri" w:eastAsia="仿宋_GB2312" w:cs="Calibri"/>
          <w:color w:val="000000"/>
          <w:kern w:val="0"/>
          <w:sz w:val="32"/>
          <w:szCs w:val="32"/>
        </w:rPr>
        <w:t>   </w:t>
      </w:r>
      <w:r>
        <w:rPr>
          <w:rFonts w:hint="eastAsia" w:ascii="仿宋_GB2312" w:hAnsi="仿宋" w:eastAsia="仿宋_GB2312" w:cs="宋体"/>
          <w:color w:val="000000"/>
          <w:kern w:val="0"/>
          <w:sz w:val="32"/>
          <w:szCs w:val="32"/>
        </w:rPr>
        <w:t xml:space="preserve">　 </w:t>
      </w:r>
      <w:r>
        <w:rPr>
          <w:rFonts w:ascii="仿宋_GB2312" w:hAnsi="仿宋" w:eastAsia="仿宋_GB2312" w:cs="宋体"/>
          <w:color w:val="000000"/>
          <w:kern w:val="0"/>
          <w:sz w:val="32"/>
          <w:szCs w:val="32"/>
        </w:rPr>
        <w:t xml:space="preserve">    </w:t>
      </w:r>
      <w:r>
        <w:rPr>
          <w:rFonts w:hint="eastAsia" w:ascii="仿宋_GB2312" w:hAnsi="Calibri" w:eastAsia="仿宋_GB2312" w:cs="Calibri"/>
          <w:color w:val="000000"/>
          <w:kern w:val="0"/>
          <w:sz w:val="32"/>
          <w:szCs w:val="32"/>
        </w:rPr>
        <w:t>          </w:t>
      </w:r>
      <w:r>
        <w:rPr>
          <w:rFonts w:hint="eastAsia" w:ascii="仿宋_GB2312" w:hAnsi="仿宋" w:eastAsia="仿宋_GB2312" w:cs="宋体"/>
          <w:color w:val="000000"/>
          <w:kern w:val="0"/>
          <w:sz w:val="32"/>
          <w:szCs w:val="32"/>
        </w:rPr>
        <w:t>20</w:t>
      </w:r>
      <w:r>
        <w:rPr>
          <w:rFonts w:ascii="仿宋_GB2312" w:hAnsi="仿宋" w:eastAsia="仿宋_GB2312" w:cs="宋体"/>
          <w:color w:val="000000"/>
          <w:kern w:val="0"/>
          <w:sz w:val="32"/>
          <w:szCs w:val="32"/>
        </w:rPr>
        <w:t>21</w:t>
      </w:r>
      <w:r>
        <w:rPr>
          <w:rFonts w:hint="eastAsia" w:ascii="仿宋_GB2312" w:hAnsi="仿宋" w:eastAsia="仿宋_GB2312" w:cs="宋体"/>
          <w:color w:val="000000"/>
          <w:kern w:val="0"/>
          <w:sz w:val="32"/>
          <w:szCs w:val="32"/>
        </w:rPr>
        <w:t>年</w:t>
      </w:r>
      <w:r>
        <w:rPr>
          <w:rFonts w:ascii="仿宋_GB2312" w:hAnsi="仿宋" w:eastAsia="仿宋_GB2312" w:cs="宋体"/>
          <w:color w:val="000000"/>
          <w:kern w:val="0"/>
          <w:sz w:val="32"/>
          <w:szCs w:val="32"/>
        </w:rPr>
        <w:t>10</w:t>
      </w:r>
      <w:r>
        <w:rPr>
          <w:rFonts w:hint="eastAsia" w:ascii="仿宋_GB2312" w:hAnsi="仿宋" w:eastAsia="仿宋_GB2312" w:cs="宋体"/>
          <w:color w:val="000000"/>
          <w:kern w:val="0"/>
          <w:sz w:val="32"/>
          <w:szCs w:val="32"/>
        </w:rPr>
        <w:t>月</w:t>
      </w:r>
      <w:r>
        <w:rPr>
          <w:rFonts w:ascii="仿宋_GB2312" w:hAnsi="仿宋" w:eastAsia="仿宋_GB2312" w:cs="宋体"/>
          <w:color w:val="000000"/>
          <w:kern w:val="0"/>
          <w:sz w:val="32"/>
          <w:szCs w:val="32"/>
        </w:rPr>
        <w:t>22</w:t>
      </w:r>
      <w:r>
        <w:rPr>
          <w:rFonts w:hint="eastAsia" w:ascii="仿宋_GB2312" w:hAnsi="仿宋" w:eastAsia="仿宋_GB2312" w:cs="宋体"/>
          <w:color w:val="000000"/>
          <w:kern w:val="0"/>
          <w:sz w:val="32"/>
          <w:szCs w:val="32"/>
        </w:rPr>
        <w:t>日</w:t>
      </w:r>
    </w:p>
    <w:p/>
    <w:p/>
    <w:p/>
    <w:p/>
    <w:p>
      <w:pPr>
        <w:ind w:left="753" w:hanging="723" w:hangingChars="250"/>
        <w:jc w:val="left"/>
        <w:rPr>
          <w:rFonts w:hint="eastAsia" w:ascii="宋体" w:hAnsi="宋体" w:eastAsia="宋体" w:cs="宋体"/>
          <w:b/>
          <w:spacing w:val="-6"/>
          <w:sz w:val="30"/>
          <w:szCs w:val="30"/>
        </w:rPr>
      </w:pPr>
      <w:r>
        <w:rPr>
          <w:rFonts w:hint="eastAsia" w:ascii="宋体" w:hAnsi="宋体" w:eastAsia="宋体" w:cs="宋体"/>
          <w:b/>
          <w:spacing w:val="-6"/>
          <w:sz w:val="30"/>
          <w:szCs w:val="30"/>
        </w:rPr>
        <w:t>附件</w:t>
      </w:r>
      <w:bookmarkStart w:id="6" w:name="_GoBack"/>
      <w:bookmarkEnd w:id="6"/>
      <w:r>
        <w:rPr>
          <w:rFonts w:hint="eastAsia" w:ascii="宋体" w:hAnsi="宋体" w:eastAsia="宋体" w:cs="宋体"/>
          <w:b/>
          <w:spacing w:val="-6"/>
          <w:sz w:val="30"/>
          <w:szCs w:val="30"/>
        </w:rPr>
        <w:t>：阳泉市地籍（子）区查询操作流程</w:t>
      </w:r>
    </w:p>
    <w:p>
      <w:pPr>
        <w:outlineLvl w:val="0"/>
        <w:rPr>
          <w:rFonts w:hint="eastAsia"/>
          <w:b/>
          <w:bCs/>
          <w:sz w:val="24"/>
        </w:rPr>
      </w:pPr>
      <w:bookmarkStart w:id="0" w:name="_Toc28145"/>
    </w:p>
    <w:p>
      <w:pPr>
        <w:outlineLvl w:val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一、查询位置</w:t>
      </w:r>
      <w:bookmarkEnd w:id="0"/>
    </w:p>
    <w:p>
      <w:pPr>
        <w:rPr>
          <w:sz w:val="24"/>
        </w:rPr>
      </w:pPr>
      <w:r>
        <w:rPr>
          <w:rFonts w:hint="eastAsia"/>
          <w:sz w:val="24"/>
        </w:rPr>
        <w:t>1.1打开浏览器，网址栏输入网址：http://ghhzy.yq.gov.cn/登录阳泉市规划和自然资源局官方网站，如下图所示：</w:t>
      </w:r>
    </w:p>
    <w:p>
      <w:pPr>
        <w:rPr>
          <w:sz w:val="24"/>
        </w:rPr>
      </w:pPr>
      <w:r>
        <w:drawing>
          <wp:inline distT="0" distB="0" distL="114300" distR="114300">
            <wp:extent cx="5266690" cy="2652395"/>
            <wp:effectExtent l="0" t="0" r="10160" b="146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</w:p>
    <w:p>
      <w:pPr>
        <w:rPr>
          <w:sz w:val="24"/>
        </w:rPr>
      </w:pPr>
      <w:r>
        <w:rPr>
          <w:rFonts w:hint="eastAsia"/>
          <w:sz w:val="24"/>
        </w:rPr>
        <w:t>1.2在官方网站首页中找到“优化营商环境.不动产登记”的栏目，并点击，如下图所示：</w:t>
      </w:r>
    </w:p>
    <w:p>
      <w:r>
        <w:drawing>
          <wp:inline distT="0" distB="0" distL="114300" distR="114300">
            <wp:extent cx="5264150" cy="1986280"/>
            <wp:effectExtent l="0" t="0" r="12700" b="139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sz w:val="24"/>
        </w:rPr>
      </w:pPr>
      <w:r>
        <w:rPr>
          <w:rFonts w:hint="eastAsia"/>
          <w:sz w:val="24"/>
        </w:rPr>
        <w:t>1.3跳转到阳泉市不动产登记中心官网首页，左侧可以看到地籍（子）区公示链接，如下图所示：</w:t>
      </w:r>
    </w:p>
    <w:p>
      <w:r>
        <w:drawing>
          <wp:inline distT="0" distB="0" distL="114300" distR="114300">
            <wp:extent cx="5260340" cy="2940050"/>
            <wp:effectExtent l="0" t="0" r="16510" b="1270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1.4点击以上链接，便跳转到阳泉地籍（子）区公示页面，如下所示：</w:t>
      </w:r>
    </w:p>
    <w:p>
      <w:pPr>
        <w:rPr>
          <w:sz w:val="24"/>
        </w:rPr>
      </w:pPr>
      <w:r>
        <w:drawing>
          <wp:inline distT="0" distB="0" distL="114300" distR="114300">
            <wp:extent cx="5260340" cy="2573655"/>
            <wp:effectExtent l="0" t="0" r="16510" b="171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0"/>
        <w:rPr>
          <w:b/>
          <w:bCs/>
          <w:sz w:val="24"/>
        </w:rPr>
      </w:pPr>
      <w:bookmarkStart w:id="1" w:name="_Toc21541"/>
      <w:r>
        <w:rPr>
          <w:rFonts w:hint="eastAsia"/>
          <w:b/>
          <w:bCs/>
          <w:sz w:val="24"/>
        </w:rPr>
        <w:t>二、地籍区公示地图操作说明</w:t>
      </w:r>
      <w:bookmarkEnd w:id="1"/>
    </w:p>
    <w:p>
      <w:pPr>
        <w:rPr>
          <w:sz w:val="24"/>
        </w:rPr>
      </w:pPr>
      <w:r>
        <w:rPr>
          <w:rFonts w:hint="eastAsia"/>
          <w:sz w:val="24"/>
        </w:rPr>
        <w:t>2.1在地图右侧居中位置有“信息查询”的功能按钮，如下所示：</w:t>
      </w:r>
    </w:p>
    <w:p>
      <w:r>
        <w:drawing>
          <wp:inline distT="0" distB="0" distL="114300" distR="114300">
            <wp:extent cx="5256530" cy="2512060"/>
            <wp:effectExtent l="0" t="0" r="127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2.2点击“信息查询”，便会弹出信息查询功能页面栏目，如下所示：</w:t>
      </w:r>
    </w:p>
    <w:p>
      <w:r>
        <w:drawing>
          <wp:inline distT="0" distB="0" distL="114300" distR="114300">
            <wp:extent cx="5271135" cy="2585720"/>
            <wp:effectExtent l="0" t="0" r="5715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2.3信息查询栏目有“区数据类型”、“地籍区编号”、“地籍区名称”3个查询条件供查询数据，选择“区数据类型”为地籍区，点击查询，页面会返回所有地籍区数据明细，如下所示：</w:t>
      </w:r>
    </w:p>
    <w:p>
      <w:r>
        <w:drawing>
          <wp:inline distT="0" distB="0" distL="114300" distR="114300">
            <wp:extent cx="5259070" cy="2546350"/>
            <wp:effectExtent l="0" t="0" r="1778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2.4点击地籍区明细右侧的“查看”，便可定位到地籍区位置，如下所示：</w:t>
      </w:r>
    </w:p>
    <w:p>
      <w:pPr>
        <w:rPr>
          <w:sz w:val="24"/>
        </w:rPr>
      </w:pPr>
      <w:r>
        <w:drawing>
          <wp:inline distT="0" distB="0" distL="114300" distR="114300">
            <wp:extent cx="5264785" cy="2531745"/>
            <wp:effectExtent l="0" t="0" r="12065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</w:p>
    <w:p>
      <w:pPr>
        <w:rPr>
          <w:sz w:val="24"/>
        </w:rPr>
      </w:pPr>
      <w:r>
        <w:rPr>
          <w:rFonts w:hint="eastAsia"/>
          <w:sz w:val="24"/>
        </w:rPr>
        <w:t>2.5输入“地籍区编号”或者“地籍区名称”，可精准查询需要查询的地籍区数据和位置信息，如下所示：</w:t>
      </w:r>
    </w:p>
    <w:p>
      <w:r>
        <w:drawing>
          <wp:inline distT="0" distB="0" distL="114300" distR="114300">
            <wp:extent cx="5267960" cy="2520315"/>
            <wp:effectExtent l="0" t="0" r="8890" b="133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880" cy="2553970"/>
            <wp:effectExtent l="0" t="0" r="13970" b="177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0"/>
        <w:rPr>
          <w:b/>
          <w:bCs/>
          <w:sz w:val="24"/>
        </w:rPr>
      </w:pPr>
      <w:bookmarkStart w:id="2" w:name="_Toc28396"/>
      <w:r>
        <w:rPr>
          <w:rFonts w:hint="eastAsia"/>
          <w:b/>
          <w:bCs/>
          <w:sz w:val="24"/>
        </w:rPr>
        <w:t>三、地籍子区公示地图操作说明</w:t>
      </w:r>
      <w:bookmarkEnd w:id="2"/>
    </w:p>
    <w:p>
      <w:pPr>
        <w:rPr>
          <w:sz w:val="24"/>
        </w:rPr>
      </w:pPr>
      <w:r>
        <w:rPr>
          <w:rFonts w:hint="eastAsia"/>
          <w:sz w:val="24"/>
        </w:rPr>
        <w:t>3.1“区数据类型”选择地籍子区，点击查询，即可查询到所有地籍子区明细，点击明细右侧“查看”，即可在地图上定位到地籍子区位置信息，如下所示：</w:t>
      </w:r>
    </w:p>
    <w:p>
      <w:r>
        <w:drawing>
          <wp:inline distT="0" distB="0" distL="114300" distR="114300">
            <wp:extent cx="5273040" cy="2580005"/>
            <wp:effectExtent l="0" t="0" r="3810" b="1079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3.2输入“地籍区编号”或者“地籍区名称”，可精准查询需要查询的地籍子区数据和位置信息，如下所示：</w:t>
      </w:r>
    </w:p>
    <w:p>
      <w:r>
        <w:drawing>
          <wp:inline distT="0" distB="0" distL="114300" distR="114300">
            <wp:extent cx="5260340" cy="2574290"/>
            <wp:effectExtent l="0" t="0" r="16510" b="165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drawing>
          <wp:inline distT="0" distB="0" distL="114300" distR="114300">
            <wp:extent cx="5265420" cy="2568575"/>
            <wp:effectExtent l="0" t="0" r="1143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0"/>
        <w:rPr>
          <w:b/>
          <w:bCs/>
          <w:sz w:val="24"/>
        </w:rPr>
      </w:pPr>
      <w:bookmarkStart w:id="3" w:name="_Toc1953"/>
      <w:r>
        <w:rPr>
          <w:rFonts w:hint="eastAsia"/>
          <w:b/>
          <w:bCs/>
          <w:sz w:val="24"/>
        </w:rPr>
        <w:t>四、地图放大和缩小</w:t>
      </w:r>
      <w:bookmarkEnd w:id="3"/>
    </w:p>
    <w:p>
      <w:pPr>
        <w:ind w:firstLine="480" w:firstLineChars="200"/>
        <w:rPr>
          <w:sz w:val="24"/>
        </w:rPr>
      </w:pPr>
      <w:r>
        <w:rPr>
          <w:rFonts w:hint="eastAsia"/>
          <w:sz w:val="24"/>
        </w:rPr>
        <w:t>将鼠标箭头放到地图上，滚动鼠标滚轮，即可放大和缩小地图，放大效果图如下所示：</w:t>
      </w:r>
    </w:p>
    <w:p>
      <w:r>
        <w:drawing>
          <wp:inline distT="0" distB="0" distL="114300" distR="114300">
            <wp:extent cx="5262245" cy="2574290"/>
            <wp:effectExtent l="0" t="0" r="14605" b="165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sz w:val="24"/>
        </w:rPr>
      </w:pPr>
      <w:r>
        <w:rPr>
          <w:rFonts w:hint="eastAsia"/>
          <w:sz w:val="24"/>
        </w:rPr>
        <w:t>缩小效果如下所示：</w:t>
      </w: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  <w:r>
        <w:drawing>
          <wp:inline distT="0" distB="0" distL="114300" distR="114300">
            <wp:extent cx="5262245" cy="2574290"/>
            <wp:effectExtent l="0" t="0" r="14605" b="165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0"/>
        <w:rPr>
          <w:b/>
          <w:bCs/>
          <w:sz w:val="24"/>
        </w:rPr>
      </w:pPr>
      <w:bookmarkStart w:id="4" w:name="_Toc20185"/>
      <w:r>
        <w:rPr>
          <w:rFonts w:hint="eastAsia"/>
          <w:b/>
          <w:bCs/>
          <w:sz w:val="24"/>
        </w:rPr>
        <w:t>五、地图拖动</w:t>
      </w:r>
      <w:bookmarkEnd w:id="4"/>
    </w:p>
    <w:p>
      <w:pPr>
        <w:ind w:firstLine="480" w:firstLineChars="200"/>
        <w:rPr>
          <w:sz w:val="24"/>
        </w:rPr>
      </w:pPr>
      <w:r>
        <w:rPr>
          <w:rFonts w:hint="eastAsia"/>
          <w:sz w:val="24"/>
        </w:rPr>
        <w:t>鼠标图标放在地图，长按鼠标左键，便可拖动地图位置。</w:t>
      </w:r>
    </w:p>
    <w:p>
      <w:pPr>
        <w:outlineLvl w:val="0"/>
        <w:rPr>
          <w:b/>
          <w:bCs/>
          <w:sz w:val="24"/>
        </w:rPr>
      </w:pPr>
      <w:bookmarkStart w:id="5" w:name="_Toc8154"/>
      <w:r>
        <w:rPr>
          <w:rFonts w:hint="eastAsia"/>
          <w:b/>
          <w:bCs/>
          <w:sz w:val="24"/>
        </w:rPr>
        <w:t>六、查询条件重置</w:t>
      </w:r>
      <w:bookmarkEnd w:id="5"/>
    </w:p>
    <w:p>
      <w:pPr>
        <w:rPr>
          <w:sz w:val="24"/>
        </w:rPr>
      </w:pPr>
      <w:r>
        <w:rPr>
          <w:rFonts w:hint="eastAsia"/>
          <w:sz w:val="24"/>
        </w:rPr>
        <w:t xml:space="preserve">    点击信息查询的“重置”按钮，便可将历史查询条件信息删除。</w:t>
      </w:r>
    </w:p>
    <w:p>
      <w:pPr>
        <w:rPr>
          <w:sz w:val="24"/>
        </w:rPr>
      </w:pPr>
      <w:r>
        <w:drawing>
          <wp:inline distT="0" distB="0" distL="114300" distR="114300">
            <wp:extent cx="5259705" cy="2552065"/>
            <wp:effectExtent l="0" t="0" r="17145" b="635"/>
            <wp:docPr id="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/>
    <w:sectPr>
      <w:pgSz w:w="11906" w:h="16838"/>
      <w:pgMar w:top="1701" w:right="1474" w:bottom="1474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75271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iPriority w:val="1"/>
  </w:style>
  <w:style w:type="table" w:default="1" w:styleId="4">
    <w:name w:val="Normal Table"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qFormat/>
    <w:uiPriority w:val="99"/>
    <w:rPr>
      <w:color w:val="0563C1"/>
      <w:u w:val="single"/>
    </w:rPr>
  </w:style>
  <w:style w:type="character" w:customStyle="1" w:styleId="7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286</Words>
  <Characters>311</Characters>
  <Paragraphs>11</Paragraphs>
  <TotalTime>0</TotalTime>
  <ScaleCrop>false</ScaleCrop>
  <LinksUpToDate>false</LinksUpToDate>
  <CharactersWithSpaces>382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2021-10-25T02:19:00Z</dcterms:created>
  <dc:creator>Windows 用户</dc:creator>
  <cp:lastModifiedBy>Administrator</cp:lastModifiedBy>
  <dcterms:modified xsi:type="dcterms:W3CDTF">2021-10-29T08:30:16Z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1190ED04E9D44BB7BADB3E67A5FC4094</vt:lpwstr>
  </property>
</Properties>
</file>